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Default Extension="ttf" ContentType="application/x-font-ttf"/>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contextualSpacing w:val="0"/>
        <w:jc w:val="center"/>
      </w:pPr>
      <w:r w:rsidDel="00000000" w:rsidR="00000000" w:rsidRPr="00000000">
        <w:rPr>
          <w:rFonts w:ascii="Verdana" w:cs="Verdana" w:eastAsia="Verdana" w:hAnsi="Verdana"/>
          <w:b w:val="1"/>
          <w:rtl w:val="0"/>
        </w:rPr>
        <w:t xml:space="preserve">Grayslake North Summer Reading 2016: Freshman Honors English</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sz w:val="18"/>
          <w:szCs w:val="18"/>
          <w:rtl w:val="0"/>
        </w:rPr>
        <w:t xml:space="preserve">Welcome to Freshman Honors English!  The freshman teachers are looking forward to working with you this coming school year. We would like to help you make an excellent start in high school by keeping your reading skills sharp. To accomplish this, over the summer you are to read the novel </w:t>
      </w:r>
      <w:r w:rsidDel="00000000" w:rsidR="00000000" w:rsidRPr="00000000">
        <w:rPr>
          <w:rFonts w:ascii="Verdana" w:cs="Verdana" w:eastAsia="Verdana" w:hAnsi="Verdana"/>
          <w:i w:val="1"/>
          <w:sz w:val="18"/>
          <w:szCs w:val="18"/>
          <w:rtl w:val="0"/>
        </w:rPr>
        <w:t xml:space="preserve">The Bean Trees </w:t>
      </w:r>
      <w:r w:rsidDel="00000000" w:rsidR="00000000" w:rsidRPr="00000000">
        <w:rPr>
          <w:rFonts w:ascii="Verdana" w:cs="Verdana" w:eastAsia="Verdana" w:hAnsi="Verdana"/>
          <w:sz w:val="18"/>
          <w:szCs w:val="18"/>
          <w:rtl w:val="0"/>
        </w:rPr>
        <w:t xml:space="preserve">by Barbara Kingsolver. While we are only requiring you to read this novel, we recommend that you read much more. One study on reading indicates that to maintain and possibly improve your reading skills, you should read at least four novels over the summer. </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-76199</wp:posOffset>
                </wp:positionH>
                <wp:positionV relativeFrom="paragraph">
                  <wp:posOffset>38100</wp:posOffset>
                </wp:positionV>
                <wp:extent cx="6083300" cy="2247900"/>
                <wp:effectExtent b="0" l="0" r="0" t="0"/>
                <wp:wrapNone/>
                <wp:docPr id="1" name=""/>
                <a:graphic>
                  <a:graphicData uri="http://schemas.microsoft.com/office/word/2010/wordprocessingShape">
                    <wps:wsp>
                      <wps:cNvSpPr/>
                      <wps:cNvPr id="2" name="Shape 2"/>
                      <wps:spPr>
                        <a:xfrm>
                          <a:off x="2303080" y="2657319"/>
                          <a:ext cx="6085839" cy="2245359"/>
                        </a:xfrm>
                        <a:prstGeom prst="rect">
                          <a:avLst/>
                        </a:prstGeom>
                        <a:solidFill>
                          <a:srgbClr val="FFFFFF"/>
                        </a:solid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Verdana" w:cs="Verdana" w:eastAsia="Verdana" w:hAnsi="Verdana"/>
                                <w:b w:val="1"/>
                                <w:i w:val="0"/>
                                <w:smallCaps w:val="0"/>
                                <w:strike w:val="0"/>
                                <w:color w:val="000000"/>
                                <w:sz w:val="18"/>
                                <w:vertAlign w:val="baseline"/>
                              </w:rPr>
                              <w:t xml:space="preserve">Summary of </w:t>
                            </w:r>
                            <w:r w:rsidDel="00000000" w:rsidR="00000000" w:rsidRPr="00000000">
                              <w:rPr>
                                <w:rFonts w:ascii="Verdana" w:cs="Verdana" w:eastAsia="Verdana" w:hAnsi="Verdana"/>
                                <w:b w:val="1"/>
                                <w:i w:val="1"/>
                                <w:smallCaps w:val="0"/>
                                <w:strike w:val="0"/>
                                <w:color w:val="000000"/>
                                <w:sz w:val="18"/>
                                <w:vertAlign w:val="baseline"/>
                              </w:rPr>
                              <w:t xml:space="preserve">The Bean Trees</w:t>
                            </w:r>
                          </w:p>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Verdana" w:cs="Verdana" w:eastAsia="Verdana" w:hAnsi="Verdana"/>
                                <w:b w:val="1"/>
                                <w:i w:val="1"/>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From Publishers Weekly</w:t>
                            </w:r>
                          </w:p>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Feisty Marietta Greer changes her name to "Taylor" when her car runs out of gas in Taylorville, IL. By the time she reaches Oklahoma, this strong-willed young Kentucky native with a quick tongue and an open mind is catapulted into a surprising new life. Taylor leaves home in a beat-up '55 Volkswagen bug, on her way to nowhere in particular, savoring her freedom. But when a forlorn Cherokee woman drops a baby in Taylor's passenger seat and asks her to take it, she does. A first novel, </w:t>
                            </w:r>
                            <w:r w:rsidDel="00000000" w:rsidR="00000000" w:rsidRPr="00000000">
                              <w:rPr>
                                <w:rFonts w:ascii="Calibri" w:cs="Calibri" w:eastAsia="Calibri" w:hAnsi="Calibri"/>
                                <w:b w:val="0"/>
                                <w:i w:val="1"/>
                                <w:smallCaps w:val="0"/>
                                <w:strike w:val="0"/>
                                <w:color w:val="000000"/>
                                <w:sz w:val="18"/>
                                <w:vertAlign w:val="baseline"/>
                              </w:rPr>
                              <w:t xml:space="preserve">The</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1"/>
                                <w:smallCaps w:val="0"/>
                                <w:strike w:val="0"/>
                                <w:color w:val="000000"/>
                                <w:sz w:val="18"/>
                                <w:vertAlign w:val="baseline"/>
                              </w:rPr>
                              <w:t xml:space="preserve">Bean Trees</w:t>
                            </w:r>
                            <w:r w:rsidDel="00000000" w:rsidR="00000000" w:rsidRPr="00000000">
                              <w:rPr>
                                <w:rFonts w:ascii="Calibri" w:cs="Calibri" w:eastAsia="Calibri" w:hAnsi="Calibri"/>
                                <w:b w:val="0"/>
                                <w:i w:val="0"/>
                                <w:smallCaps w:val="0"/>
                                <w:strike w:val="0"/>
                                <w:color w:val="000000"/>
                                <w:sz w:val="18"/>
                                <w:vertAlign w:val="baseline"/>
                              </w:rPr>
                              <w:t xml:space="preserve"> is an overwhelming delight, as random and unexpected as real life. The unmistakable voice of its irresistible heroine is whimsical, yet deeply insightful. Taylor playfully names her little foundling "Turtle," because she clings with an unrelenting, reptilian grip; at the same time, Taylor aches at the thought of the silent, staring child's past suffering. With Turtle in tow, Taylor lands in Tucson, Ariz., with two flat tires and decides to stay. The desert climate, landscape and vegetation are completely foreign to Taylor, and in learning to love Arizona, she also comes face to face with its rattlesnakes and tarantulas. Similarly, Taylor finds that motherhood, responsibility and independence are thorny, if welcome, gifts. This funny, inspiring book is a marvelous affirmation of risk-taking, commitment and everyday miracles. </w:t>
                            </w:r>
                          </w:p>
                          <w:p w:rsidR="00000000" w:rsidDel="00000000" w:rsidP="00000000" w:rsidRDefault="00000000" w:rsidRPr="00000000">
                            <w:pPr>
                              <w:spacing w:after="160" w:before="0" w:line="258.99999618530273"/>
                              <w:ind w:left="0" w:right="0" w:firstLine="0"/>
                              <w:jc w:val="left"/>
                              <w:textDirection w:val="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45700" lIns="91425" rIns="91425" tIns="45700"/>
                    </wps:wsp>
                  </a:graphicData>
                </a:graphic>
              </wp:anchor>
            </w:drawing>
          </mc:Choice>
          <mc:Fallback>
            <w:drawing>
              <wp:anchor allowOverlap="0" behindDoc="0" distB="0" distT="0" distL="114300" distR="114300" hidden="0" layoutInCell="0" locked="0" relativeHeight="0" simplePos="0">
                <wp:simplePos x="0" y="0"/>
                <wp:positionH relativeFrom="margin">
                  <wp:posOffset>-76199</wp:posOffset>
                </wp:positionH>
                <wp:positionV relativeFrom="paragraph">
                  <wp:posOffset>38100</wp:posOffset>
                </wp:positionV>
                <wp:extent cx="6083300" cy="2247900"/>
                <wp:effectExtent b="0" l="0" r="0" t="0"/>
                <wp:wrapNone/>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6083300" cy="22479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Verdana" w:cs="Verdana" w:eastAsia="Verdana" w:hAnsi="Verdana"/>
          <w:b w:val="1"/>
          <w:sz w:val="20"/>
          <w:szCs w:val="20"/>
          <w:rtl w:val="0"/>
        </w:rPr>
        <w:t xml:space="preserve">Common Core Connections: </w:t>
      </w:r>
    </w:p>
    <w:p w:rsidR="00000000" w:rsidDel="00000000" w:rsidP="00000000" w:rsidRDefault="00000000" w:rsidRPr="00000000">
      <w:pPr>
        <w:numPr>
          <w:ilvl w:val="0"/>
          <w:numId w:val="3"/>
        </w:numPr>
        <w:spacing w:after="150" w:before="280" w:line="240" w:lineRule="auto"/>
        <w:ind w:left="720" w:hanging="360"/>
        <w:rPr>
          <w:color w:val="3b3b3a"/>
        </w:rPr>
      </w:pPr>
      <w:hyperlink r:id="rId6">
        <w:r w:rsidDel="00000000" w:rsidR="00000000" w:rsidRPr="00000000">
          <w:rPr>
            <w:rFonts w:ascii="Verdana" w:cs="Verdana" w:eastAsia="Verdana" w:hAnsi="Verdana"/>
            <w:sz w:val="18"/>
            <w:szCs w:val="18"/>
            <w:rtl w:val="0"/>
          </w:rPr>
          <w:t xml:space="preserve">CCSS.ELA-Literacy.RL.9-10.1</w:t>
        </w:r>
      </w:hyperlink>
      <w:r w:rsidDel="00000000" w:rsidR="00000000" w:rsidRPr="00000000">
        <w:rPr>
          <w:rFonts w:ascii="Verdana" w:cs="Verdana" w:eastAsia="Verdana" w:hAnsi="Verdana"/>
          <w:color w:val="3b3b3a"/>
          <w:sz w:val="18"/>
          <w:szCs w:val="18"/>
          <w:rtl w:val="0"/>
        </w:rPr>
        <w:t xml:space="preserve"> Cite strong and thorough textual evidence to support analysis of what the text says explicitly as well as inferences drawn from the text.</w:t>
      </w:r>
    </w:p>
    <w:p w:rsidR="00000000" w:rsidDel="00000000" w:rsidP="00000000" w:rsidRDefault="00000000" w:rsidRPr="00000000">
      <w:pPr>
        <w:numPr>
          <w:ilvl w:val="0"/>
          <w:numId w:val="3"/>
        </w:numPr>
        <w:spacing w:after="150" w:before="130" w:line="240" w:lineRule="auto"/>
        <w:ind w:left="720" w:hanging="360"/>
        <w:rPr>
          <w:color w:val="3b3b3a"/>
        </w:rPr>
      </w:pPr>
      <w:hyperlink r:id="rId7">
        <w:r w:rsidDel="00000000" w:rsidR="00000000" w:rsidRPr="00000000">
          <w:rPr>
            <w:rFonts w:ascii="Verdana" w:cs="Verdana" w:eastAsia="Verdana" w:hAnsi="Verdana"/>
            <w:sz w:val="18"/>
            <w:szCs w:val="18"/>
            <w:rtl w:val="0"/>
          </w:rPr>
          <w:t xml:space="preserve">CCSS.ELA-Literacy.RL.9-10.2</w:t>
        </w:r>
      </w:hyperlink>
      <w:r w:rsidDel="00000000" w:rsidR="00000000" w:rsidRPr="00000000">
        <w:rPr>
          <w:rFonts w:ascii="Verdana" w:cs="Verdana" w:eastAsia="Verdana" w:hAnsi="Verdana"/>
          <w:color w:val="3b3b3a"/>
          <w:sz w:val="18"/>
          <w:szCs w:val="18"/>
          <w:rtl w:val="0"/>
        </w:rPr>
        <w:t xml:space="preserve"> Determine a theme or central idea of a text and analyze in detail its development over the course of the text, including how it emerges and is shaped and refined by specific details; provide an objective summary of the text.</w:t>
      </w:r>
    </w:p>
    <w:p w:rsidR="00000000" w:rsidDel="00000000" w:rsidP="00000000" w:rsidRDefault="00000000" w:rsidRPr="00000000">
      <w:pPr>
        <w:numPr>
          <w:ilvl w:val="0"/>
          <w:numId w:val="3"/>
        </w:numPr>
        <w:spacing w:after="150" w:before="130" w:line="240" w:lineRule="auto"/>
        <w:ind w:left="720" w:hanging="360"/>
        <w:rPr>
          <w:color w:val="3b3b3a"/>
        </w:rPr>
      </w:pPr>
      <w:hyperlink r:id="rId8">
        <w:r w:rsidDel="00000000" w:rsidR="00000000" w:rsidRPr="00000000">
          <w:rPr>
            <w:rFonts w:ascii="Verdana" w:cs="Verdana" w:eastAsia="Verdana" w:hAnsi="Verdana"/>
            <w:sz w:val="18"/>
            <w:szCs w:val="18"/>
            <w:rtl w:val="0"/>
          </w:rPr>
          <w:t xml:space="preserve">CCSS.ELA-Literacy.RL.9-10.3</w:t>
        </w:r>
      </w:hyperlink>
      <w:r w:rsidDel="00000000" w:rsidR="00000000" w:rsidRPr="00000000">
        <w:rPr>
          <w:rFonts w:ascii="Verdana" w:cs="Verdana" w:eastAsia="Verdana" w:hAnsi="Verdana"/>
          <w:color w:val="3b3b3a"/>
          <w:sz w:val="18"/>
          <w:szCs w:val="18"/>
          <w:rtl w:val="0"/>
        </w:rPr>
        <w:t xml:space="preserve"> Analyze how complex characters (e.g., those with multiple or conflicting motivations) develop over the course of a text, interact with other characters, and advance the plot or develop the theme.</w:t>
      </w:r>
    </w:p>
    <w:p w:rsidR="00000000" w:rsidDel="00000000" w:rsidP="00000000" w:rsidRDefault="00000000" w:rsidRPr="00000000">
      <w:pPr>
        <w:numPr>
          <w:ilvl w:val="0"/>
          <w:numId w:val="1"/>
        </w:numPr>
        <w:spacing w:after="150" w:before="130" w:line="240" w:lineRule="auto"/>
        <w:ind w:left="720" w:hanging="360"/>
        <w:rPr>
          <w:color w:val="3b3b3a"/>
        </w:rPr>
      </w:pPr>
      <w:hyperlink r:id="rId9">
        <w:r w:rsidDel="00000000" w:rsidR="00000000" w:rsidRPr="00000000">
          <w:rPr>
            <w:rFonts w:ascii="Verdana" w:cs="Verdana" w:eastAsia="Verdana" w:hAnsi="Verdana"/>
            <w:sz w:val="18"/>
            <w:szCs w:val="18"/>
            <w:rtl w:val="0"/>
          </w:rPr>
          <w:t xml:space="preserve">CCSS.ELA-Literacy.W.9-10.1</w:t>
        </w:r>
      </w:hyperlink>
      <w:r w:rsidDel="00000000" w:rsidR="00000000" w:rsidRPr="00000000">
        <w:rPr>
          <w:rFonts w:ascii="Verdana" w:cs="Verdana" w:eastAsia="Verdana" w:hAnsi="Verdana"/>
          <w:color w:val="3b3b3a"/>
          <w:sz w:val="18"/>
          <w:szCs w:val="18"/>
          <w:rtl w:val="0"/>
        </w:rPr>
        <w:t xml:space="preserve"> Write arguments to support claims in an analysis of substantive topics or texts, using valid reasoning and relevant and sufficient evidence.</w:t>
      </w:r>
    </w:p>
    <w:p w:rsidR="00000000" w:rsidDel="00000000" w:rsidP="00000000" w:rsidRDefault="00000000" w:rsidRPr="00000000">
      <w:pPr>
        <w:numPr>
          <w:ilvl w:val="0"/>
          <w:numId w:val="3"/>
        </w:numPr>
        <w:spacing w:after="150" w:before="130" w:line="240" w:lineRule="auto"/>
        <w:ind w:left="720" w:hanging="360"/>
        <w:rPr>
          <w:color w:val="3b3b3a"/>
        </w:rPr>
      </w:pPr>
      <w:hyperlink r:id="rId10">
        <w:r w:rsidDel="00000000" w:rsidR="00000000" w:rsidRPr="00000000">
          <w:rPr>
            <w:rFonts w:ascii="Helvetica Neue" w:cs="Helvetica Neue" w:eastAsia="Helvetica Neue" w:hAnsi="Helvetica Neue"/>
            <w:sz w:val="18"/>
            <w:szCs w:val="18"/>
            <w:rtl w:val="0"/>
          </w:rPr>
          <w:t xml:space="preserve">CCSS.ELA-Literacy.W.9-10.4</w:t>
        </w:r>
      </w:hyperlink>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Verdana" w:cs="Verdana" w:eastAsia="Verdana" w:hAnsi="Verdana"/>
          <w:color w:val="3b3b3a"/>
          <w:sz w:val="18"/>
          <w:szCs w:val="18"/>
          <w:rtl w:val="0"/>
        </w:rPr>
        <w:t xml:space="preserve">Produce clear and coherent writing in which the development, organization, and style are appropriate to task, purpose, and audience.</w:t>
      </w:r>
    </w:p>
    <w:p w:rsidR="00000000" w:rsidDel="00000000" w:rsidP="00000000" w:rsidRDefault="00000000" w:rsidRPr="00000000">
      <w:pPr>
        <w:numPr>
          <w:ilvl w:val="0"/>
          <w:numId w:val="3"/>
        </w:numPr>
        <w:spacing w:after="150" w:before="130" w:line="240" w:lineRule="auto"/>
        <w:ind w:left="720" w:hanging="360"/>
        <w:rPr>
          <w:color w:val="3b3b3a"/>
        </w:rPr>
      </w:pPr>
      <w:hyperlink r:id="rId11">
        <w:r w:rsidDel="00000000" w:rsidR="00000000" w:rsidRPr="00000000">
          <w:rPr>
            <w:rFonts w:ascii="Helvetica Neue" w:cs="Helvetica Neue" w:eastAsia="Helvetica Neue" w:hAnsi="Helvetica Neue"/>
            <w:sz w:val="18"/>
            <w:szCs w:val="18"/>
            <w:rtl w:val="0"/>
          </w:rPr>
          <w:t xml:space="preserve">CCSS.ELA-Literacy.W.9-10.5</w:t>
        </w:r>
      </w:hyperlink>
      <w:r w:rsidDel="00000000" w:rsidR="00000000" w:rsidRPr="00000000">
        <w:rPr>
          <w:rFonts w:ascii="Helvetica Neue" w:cs="Helvetica Neue" w:eastAsia="Helvetica Neue" w:hAnsi="Helvetica Neue"/>
          <w:sz w:val="18"/>
          <w:szCs w:val="18"/>
          <w:rtl w:val="0"/>
        </w:rPr>
        <w:t xml:space="preserve"> </w:t>
      </w:r>
      <w:r w:rsidDel="00000000" w:rsidR="00000000" w:rsidRPr="00000000">
        <w:rPr>
          <w:rFonts w:ascii="Verdana" w:cs="Verdana" w:eastAsia="Verdana" w:hAnsi="Verdana"/>
          <w:color w:val="3b3b3a"/>
          <w:sz w:val="18"/>
          <w:szCs w:val="18"/>
          <w:rtl w:val="0"/>
        </w:rPr>
        <w:t xml:space="preserve">Develop and strengthen writing as needed by planning, revising, editing, rewriting, or trying a new approach, focusing on addressing what is most significant for a specific purpose and audience</w:t>
      </w:r>
      <w:r w:rsidDel="00000000" w:rsidR="00000000" w:rsidRPr="00000000">
        <w:rPr>
          <w:rFonts w:ascii="Helvetica Neue" w:cs="Helvetica Neue" w:eastAsia="Helvetica Neue" w:hAnsi="Helvetica Neue"/>
          <w:color w:val="3b3b3a"/>
          <w:sz w:val="18"/>
          <w:szCs w:val="18"/>
          <w:rtl w:val="0"/>
        </w:rPr>
        <w:t xml:space="preserve">.</w:t>
      </w:r>
      <w:r w:rsidDel="00000000" w:rsidR="00000000" w:rsidRPr="00000000">
        <w:rPr>
          <w:rtl w:val="0"/>
        </w:rPr>
      </w:r>
    </w:p>
    <w:p w:rsidR="00000000" w:rsidDel="00000000" w:rsidP="00000000" w:rsidRDefault="00000000" w:rsidRPr="00000000">
      <w:pPr>
        <w:spacing w:after="150" w:before="130" w:line="240" w:lineRule="auto"/>
        <w:contextualSpacing w:val="0"/>
      </w:pPr>
      <w:r w:rsidDel="00000000" w:rsidR="00000000" w:rsidRPr="00000000">
        <w:rPr>
          <w:rtl w:val="0"/>
        </w:rPr>
      </w:r>
    </w:p>
    <w:p w:rsidR="00000000" w:rsidDel="00000000" w:rsidP="00000000" w:rsidRDefault="00000000" w:rsidRPr="00000000">
      <w:pPr>
        <w:spacing w:after="150" w:before="130" w:line="240" w:lineRule="auto"/>
        <w:contextualSpacing w:val="0"/>
      </w:pPr>
      <w:r w:rsidDel="00000000" w:rsidR="00000000" w:rsidRPr="00000000">
        <w:rPr>
          <w:rtl w:val="0"/>
        </w:rPr>
      </w:r>
    </w:p>
    <w:p w:rsidR="00000000" w:rsidDel="00000000" w:rsidP="00000000" w:rsidRDefault="00000000" w:rsidRPr="00000000">
      <w:pPr>
        <w:spacing w:after="150" w:before="13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Assignment:</w:t>
      </w:r>
      <w:r w:rsidDel="00000000" w:rsidR="00000000" w:rsidRPr="00000000">
        <w:rPr>
          <w:rtl w:val="0"/>
        </w:rPr>
      </w:r>
    </w:p>
    <w:tbl>
      <w:tblPr>
        <w:tblStyle w:val="Table1"/>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Read the novel </w:t>
            </w:r>
            <w:r w:rsidDel="00000000" w:rsidR="00000000" w:rsidRPr="00000000">
              <w:rPr>
                <w:rFonts w:ascii="Times New Roman" w:cs="Times New Roman" w:eastAsia="Times New Roman" w:hAnsi="Times New Roman"/>
                <w:i w:val="1"/>
                <w:rtl w:val="0"/>
              </w:rPr>
              <w:t xml:space="preserve">The Bean Trees </w:t>
            </w:r>
            <w:r w:rsidDel="00000000" w:rsidR="00000000" w:rsidRPr="00000000">
              <w:rPr>
                <w:rFonts w:ascii="Times New Roman" w:cs="Times New Roman" w:eastAsia="Times New Roman" w:hAnsi="Times New Roman"/>
                <w:rtl w:val="0"/>
              </w:rPr>
              <w:t xml:space="preserve">by Barbara Kingsolver</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Choose a topic from the following list and annotate the entire novel for that topic, as well as other important ideas. For example, you might not find your topic on a pair of pages, but you might be able 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comment on character development, the powerful use of a writing device, or another topic.</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b w:val="1"/>
                <w:rtl w:val="0"/>
              </w:rPr>
              <w:t xml:space="preserve">Topics: </w:t>
            </w:r>
            <w:r w:rsidDel="00000000" w:rsidR="00000000" w:rsidRPr="00000000">
              <w:rPr>
                <w:rFonts w:ascii="Times New Roman" w:cs="Times New Roman" w:eastAsia="Times New Roman" w:hAnsi="Times New Roman"/>
                <w:rtl w:val="0"/>
              </w:rPr>
              <w:t xml:space="preserve">importance of family and/or a sense of community (symbiotic relationships); gender inequality; strength of women; motherhood; respect for the environment; illegal immigration; </w:t>
            </w:r>
          </w:p>
          <w:p w:rsidR="00000000" w:rsidDel="00000000" w:rsidP="00000000" w:rsidRDefault="00000000" w:rsidRPr="00000000">
            <w:pPr>
              <w:spacing w:after="0" w:line="240" w:lineRule="auto"/>
              <w:ind w:left="720" w:firstLine="0"/>
              <w:contextualSpacing w:val="0"/>
            </w:pPr>
            <w:r w:rsidDel="00000000" w:rsidR="00000000" w:rsidRPr="00000000">
              <w:rPr>
                <w:rFonts w:ascii="Times New Roman" w:cs="Times New Roman" w:eastAsia="Times New Roman" w:hAnsi="Times New Roman"/>
                <w:rtl w:val="0"/>
              </w:rPr>
              <w:t xml:space="preserve">or natural growth (as it symbolizes the characters’ growth)</w:t>
            </w:r>
          </w:p>
          <w:p w:rsidR="00000000" w:rsidDel="00000000" w:rsidP="00000000" w:rsidRDefault="00000000" w:rsidRPr="00000000">
            <w:pPr>
              <w:spacing w:after="0" w:line="240" w:lineRule="auto"/>
              <w:ind w:left="720" w:firstLine="0"/>
              <w:contextualSpacing w:val="0"/>
            </w:pPr>
            <w:bookmarkStart w:colFirst="0" w:colLast="0" w:name="h.gjdgxs" w:id="0"/>
            <w:bookmarkEnd w:id="0"/>
            <w:r w:rsidDel="00000000" w:rsidR="00000000" w:rsidRPr="00000000">
              <w:rPr>
                <w:rtl w:val="0"/>
              </w:rPr>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b w:val="1"/>
                <w:rtl w:val="0"/>
              </w:rPr>
              <w:t xml:space="preserve">Annotation Expectations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      A.  You need to write at least one </w:t>
            </w:r>
            <w:r w:rsidDel="00000000" w:rsidR="00000000" w:rsidRPr="00000000">
              <w:rPr>
                <w:rFonts w:ascii="Times New Roman" w:cs="Times New Roman" w:eastAsia="Times New Roman" w:hAnsi="Times New Roman"/>
                <w:b w:val="1"/>
                <w:sz w:val="24"/>
                <w:szCs w:val="24"/>
                <w:rtl w:val="0"/>
              </w:rPr>
              <w:t xml:space="preserve">detailed</w:t>
            </w:r>
            <w:r w:rsidDel="00000000" w:rsidR="00000000" w:rsidRPr="00000000">
              <w:rPr>
                <w:rFonts w:ascii="Times New Roman" w:cs="Times New Roman" w:eastAsia="Times New Roman" w:hAnsi="Times New Roman"/>
                <w:sz w:val="24"/>
                <w:szCs w:val="24"/>
                <w:rtl w:val="0"/>
              </w:rPr>
              <w:t xml:space="preserve"> note per pair of pages as you read the novel.</w:t>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      B.  Be specific! Only underlining or highlighting will receive NO credit. Only labeling</w:t>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            with the topic will receive minimal credit. </w:t>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      C.   Example (the different font represents the annotation, and the underlined parts</w:t>
            </w:r>
          </w:p>
          <w:p w:rsidR="00000000" w:rsidDel="00000000" w:rsidP="00000000" w:rsidRDefault="00000000" w:rsidRPr="00000000">
            <w:pPr>
              <w:spacing w:after="0" w:line="240" w:lineRule="auto"/>
              <w:ind w:left="720" w:hanging="383"/>
              <w:contextualSpacing w:val="0"/>
            </w:pPr>
            <w:r w:rsidDel="00000000" w:rsidR="00000000" w:rsidRPr="00000000">
              <w:rPr>
                <w:rFonts w:ascii="Times New Roman" w:cs="Times New Roman" w:eastAsia="Times New Roman" w:hAnsi="Times New Roman"/>
                <w:sz w:val="24"/>
                <w:szCs w:val="24"/>
                <w:rtl w:val="0"/>
              </w:rPr>
              <w:t xml:space="preserve">                             are what the annotation refers to in this passage):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720" w:firstLine="337"/>
              <w:contextualSpacing w:val="0"/>
            </w:pPr>
            <w:r w:rsidDel="00000000" w:rsidR="00000000" w:rsidRPr="00000000">
              <w:rPr>
                <w:rFonts w:ascii="Times New Roman" w:cs="Times New Roman" w:eastAsia="Times New Roman" w:hAnsi="Times New Roman"/>
                <w:sz w:val="24"/>
                <w:szCs w:val="24"/>
                <w:rtl w:val="0"/>
              </w:rPr>
              <w:t xml:space="preserve">Missy was what everyone called me, not that it was my name, but because when I was three supposedly I stamped my foot and told my own mother not to call me Marietta but Miss Marietta, as I had to call all the people including children in the houses where she worked Miss this or Mister that, and </w:t>
            </w:r>
            <w:r w:rsidDel="00000000" w:rsidR="00000000" w:rsidRPr="00000000">
              <w:rPr>
                <w:rFonts w:ascii="Times New Roman" w:cs="Times New Roman" w:eastAsia="Times New Roman" w:hAnsi="Times New Roman"/>
                <w:sz w:val="24"/>
                <w:szCs w:val="24"/>
                <w:u w:val="single"/>
                <w:rtl w:val="0"/>
              </w:rPr>
              <w:t xml:space="preserve">so she did from that day forward. Miss Marietta and later on just Missy.</w:t>
            </w:r>
          </w:p>
          <w:p w:rsidR="00000000" w:rsidDel="00000000" w:rsidP="00000000" w:rsidRDefault="00000000" w:rsidRPr="00000000">
            <w:pPr>
              <w:spacing w:after="0" w:line="240" w:lineRule="auto"/>
              <w:ind w:left="720" w:firstLine="337"/>
              <w:contextualSpacing w:val="0"/>
            </w:pPr>
            <w:r w:rsidDel="00000000" w:rsidR="00000000" w:rsidRPr="00000000">
              <w:rPr>
                <w:rtl w:val="0"/>
              </w:rPr>
            </w:r>
          </w:p>
          <w:p w:rsidR="00000000" w:rsidDel="00000000" w:rsidP="00000000" w:rsidRDefault="00000000" w:rsidRPr="00000000">
            <w:pPr>
              <w:spacing w:after="0" w:line="240" w:lineRule="auto"/>
              <w:ind w:left="720" w:firstLine="247.00000000000003"/>
              <w:contextualSpacing w:val="0"/>
            </w:pPr>
            <w:r w:rsidDel="00000000" w:rsidR="00000000" w:rsidRPr="00000000">
              <w:rPr>
                <w:rFonts w:ascii="Times New Roman" w:cs="Times New Roman" w:eastAsia="Times New Roman" w:hAnsi="Times New Roman"/>
                <w:sz w:val="24"/>
                <w:szCs w:val="24"/>
                <w:u w:val="single"/>
                <w:rtl w:val="0"/>
              </w:rPr>
              <w:t xml:space="preserve">The thing you have to understand is, it was just like Mama to do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When I was just the littlest kid I would go pond fishing of a Sunday and bring home the boniest mess of blue-gills and maybe a bass the size of your thumb, and the way Mama would carry on you would think I'd caught the famous big lunker in Shep's Lake that old men were always chewing their tobacco and thinking about. "That's my big girl bringing home the bacon," she would say, and cook those things and serve them up like Thanksgiving for the two of us. </w:t>
            </w:r>
            <w:r w:rsidDel="00000000" w:rsidR="00000000" w:rsidRPr="00000000">
              <w:rPr>
                <w:rFonts w:ascii="Architects Daughter" w:cs="Architects Daughter" w:eastAsia="Architects Daughter" w:hAnsi="Architects Daughter"/>
                <w:b w:val="1"/>
                <w:sz w:val="24"/>
                <w:szCs w:val="24"/>
                <w:rtl w:val="0"/>
              </w:rPr>
              <w:t xml:space="preserve">Her mother respected her independence. This, and her encouragement, seems to provide confidence to the narrator. </w:t>
            </w:r>
          </w:p>
          <w:p w:rsidR="00000000" w:rsidDel="00000000" w:rsidP="00000000" w:rsidRDefault="00000000" w:rsidRPr="00000000">
            <w:pPr>
              <w:spacing w:after="0" w:line="240" w:lineRule="auto"/>
              <w:ind w:left="720" w:firstLine="247.00000000000003"/>
              <w:contextualSpacing w:val="0"/>
            </w:pPr>
            <w:r w:rsidDel="00000000" w:rsidR="00000000" w:rsidRPr="00000000">
              <w:rPr>
                <w:rtl w:val="0"/>
              </w:rPr>
            </w:r>
          </w:p>
          <w:p w:rsidR="00000000" w:rsidDel="00000000" w:rsidP="00000000" w:rsidRDefault="00000000" w:rsidRPr="00000000">
            <w:pPr>
              <w:spacing w:after="0" w:line="240" w:lineRule="auto"/>
              <w:ind w:left="720" w:firstLine="247.00000000000003"/>
              <w:contextualSpacing w:val="0"/>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720" w:hanging="383"/>
              <w:contextualSpacing w:val="0"/>
            </w:pPr>
            <w:r w:rsidDel="00000000" w:rsidR="00000000" w:rsidRPr="00000000">
              <w:rPr>
                <w:rtl w:val="0"/>
              </w:rPr>
            </w:r>
          </w:p>
          <w:p w:rsidR="00000000" w:rsidDel="00000000" w:rsidP="00000000" w:rsidRDefault="00000000" w:rsidRPr="00000000">
            <w:pPr>
              <w:spacing w:after="0" w:line="240" w:lineRule="auto"/>
              <w:ind w:left="360" w:hanging="360"/>
              <w:contextualSpacing w:val="0"/>
            </w:pPr>
            <w:r w:rsidDel="00000000" w:rsidR="00000000" w:rsidRPr="00000000">
              <w:rPr>
                <w:rFonts w:ascii="Times New Roman" w:cs="Times New Roman" w:eastAsia="Times New Roman" w:hAnsi="Times New Roman"/>
                <w:b w:val="1"/>
                <w:sz w:val="24"/>
                <w:szCs w:val="24"/>
                <w:rtl w:val="0"/>
              </w:rPr>
              <w:t xml:space="preserve">Original Topic: If you have another idea that you would like to explore, </w:t>
            </w:r>
          </w:p>
          <w:p w:rsidR="00000000" w:rsidDel="00000000" w:rsidP="00000000" w:rsidRDefault="00000000" w:rsidRPr="00000000">
            <w:pPr>
              <w:spacing w:after="0" w:line="240" w:lineRule="auto"/>
              <w:ind w:left="360" w:hanging="360"/>
              <w:contextualSpacing w:val="0"/>
            </w:pPr>
            <w:r w:rsidDel="00000000" w:rsidR="00000000" w:rsidRPr="00000000">
              <w:rPr>
                <w:rFonts w:ascii="Times New Roman" w:cs="Times New Roman" w:eastAsia="Times New Roman" w:hAnsi="Times New Roman"/>
                <w:b w:val="1"/>
                <w:sz w:val="24"/>
                <w:szCs w:val="24"/>
                <w:rtl w:val="0"/>
              </w:rPr>
              <w:t xml:space="preserve">e-mail Mrs. Fisherkeller for approval at </w:t>
            </w:r>
            <w:hyperlink r:id="rId12">
              <w:r w:rsidDel="00000000" w:rsidR="00000000" w:rsidRPr="00000000">
                <w:rPr>
                  <w:rFonts w:ascii="Times New Roman" w:cs="Times New Roman" w:eastAsia="Times New Roman" w:hAnsi="Times New Roman"/>
                  <w:b w:val="1"/>
                  <w:color w:val="0000ff"/>
                  <w:sz w:val="24"/>
                  <w:szCs w:val="24"/>
                  <w:u w:val="single"/>
                  <w:rtl w:val="0"/>
                </w:rPr>
                <w:t xml:space="preserve">cfisherkeller@d127.org</w:t>
              </w:r>
            </w:hyperlink>
            <w:r w:rsidDel="00000000" w:rsidR="00000000" w:rsidRPr="00000000">
              <w:rPr>
                <w:rFonts w:ascii="Times New Roman" w:cs="Times New Roman" w:eastAsia="Times New Roman" w:hAnsi="Times New Roman"/>
                <w:b w:val="1"/>
                <w:sz w:val="24"/>
                <w:szCs w:val="24"/>
                <w:rtl w:val="0"/>
              </w:rPr>
              <w:t xml:space="preserve"> </w:t>
            </w:r>
          </w:p>
        </w:tc>
      </w:tr>
      <w:tr>
        <w:tc>
          <w:tcPr/>
          <w:p w:rsidR="00000000" w:rsidDel="00000000" w:rsidP="00000000" w:rsidRDefault="00000000" w:rsidRPr="00000000">
            <w:pPr>
              <w:spacing w:after="0" w:line="240" w:lineRule="auto"/>
              <w:ind w:left="360" w:firstLine="0"/>
              <w:contextualSpacing w:val="0"/>
            </w:pPr>
            <w:r w:rsidDel="00000000" w:rsidR="00000000" w:rsidRPr="00000000">
              <w:rPr>
                <w:rtl w:val="0"/>
              </w:rPr>
            </w:r>
          </w:p>
        </w:tc>
      </w:tr>
    </w:tbl>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rtl w:val="0"/>
        </w:rPr>
        <w:t xml:space="preserve">Assessment:</w:t>
      </w:r>
    </w:p>
    <w:tbl>
      <w:tblPr>
        <w:tblStyle w:val="Table2"/>
        <w:bidi w:val="0"/>
        <w:tblW w:w="93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0"/>
        <w:tblGridChange w:id="0">
          <w:tblGrid>
            <w:gridCol w:w="9350"/>
          </w:tblGrid>
        </w:tblGridChange>
      </w:tblGrid>
      <w:tr>
        <w:tc>
          <w:tcPr/>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1. On the</w:t>
            </w:r>
            <w:r w:rsidDel="00000000" w:rsidR="00000000" w:rsidRPr="00000000">
              <w:rPr>
                <w:rFonts w:ascii="Times New Roman" w:cs="Times New Roman" w:eastAsia="Times New Roman" w:hAnsi="Times New Roman"/>
                <w:b w:val="1"/>
                <w:sz w:val="24"/>
                <w:szCs w:val="24"/>
                <w:rtl w:val="0"/>
              </w:rPr>
              <w:t xml:space="preserve"> FIRST </w:t>
            </w:r>
            <w:r w:rsidDel="00000000" w:rsidR="00000000" w:rsidRPr="00000000">
              <w:rPr>
                <w:rFonts w:ascii="Times New Roman" w:cs="Times New Roman" w:eastAsia="Times New Roman" w:hAnsi="Times New Roman"/>
                <w:sz w:val="24"/>
                <w:szCs w:val="24"/>
                <w:rtl w:val="0"/>
              </w:rPr>
              <w:t xml:space="preserve">day of school, your English teacher will collect your annotated novel. </w:t>
            </w:r>
            <w:r w:rsidDel="00000000" w:rsidR="00000000" w:rsidRPr="00000000">
              <w:rPr>
                <w:rtl w:val="0"/>
              </w:rPr>
            </w:r>
          </w:p>
          <w:p w:rsidR="00000000" w:rsidDel="00000000" w:rsidP="00000000" w:rsidRDefault="00000000" w:rsidRPr="00000000">
            <w:pPr>
              <w:spacing w:after="0" w:line="240" w:lineRule="auto"/>
              <w:ind w:left="270" w:hanging="270"/>
              <w:contextualSpacing w:val="0"/>
            </w:pPr>
            <w:r w:rsidDel="00000000" w:rsidR="00000000" w:rsidRPr="00000000">
              <w:rPr>
                <w:rFonts w:ascii="Times New Roman" w:cs="Times New Roman" w:eastAsia="Times New Roman" w:hAnsi="Times New Roman"/>
                <w:sz w:val="24"/>
                <w:szCs w:val="24"/>
                <w:rtl w:val="0"/>
              </w:rPr>
              <w:t xml:space="preserve">2. During the first week or two, the teacher will assign a writing assignment on the novel, which will require use of passages from the novel that you annotated.</w:t>
            </w:r>
          </w:p>
          <w:p w:rsidR="00000000" w:rsidDel="00000000" w:rsidP="00000000" w:rsidRDefault="00000000" w:rsidRPr="00000000">
            <w:pPr>
              <w:spacing w:after="0" w:line="240" w:lineRule="auto"/>
              <w:ind w:left="270" w:hanging="270"/>
              <w:contextualSpacing w:val="0"/>
            </w:pPr>
            <w:r w:rsidDel="00000000" w:rsidR="00000000" w:rsidRPr="00000000">
              <w:rPr>
                <w:rFonts w:ascii="Times New Roman" w:cs="Times New Roman" w:eastAsia="Times New Roman" w:hAnsi="Times New Roman"/>
                <w:sz w:val="24"/>
                <w:szCs w:val="24"/>
                <w:rtl w:val="0"/>
              </w:rPr>
              <w:t xml:space="preserve">3. If you have any questions over the summer, you can contact Mrs. Fisherkeller at North at </w:t>
            </w:r>
            <w:hyperlink r:id="rId13">
              <w:r w:rsidDel="00000000" w:rsidR="00000000" w:rsidRPr="00000000">
                <w:rPr>
                  <w:rFonts w:ascii="Times New Roman" w:cs="Times New Roman" w:eastAsia="Times New Roman" w:hAnsi="Times New Roman"/>
                  <w:color w:val="0000ff"/>
                  <w:sz w:val="24"/>
                  <w:szCs w:val="24"/>
                  <w:u w:val="single"/>
                  <w:rtl w:val="0"/>
                </w:rPr>
                <w:t xml:space="preserve">cfisherkeller@d127.org</w:t>
              </w:r>
            </w:hyperlink>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 w:name="Arial"/>
  <w:font w:name="Architects Daughter">
    <w:embedRegular r:id="rId1" w:subsetted="0"/>
  </w:font>
  <w:font w:name="Helvetica Neue">
    <w:embedRegular r:id="rId2" w:subsetted="0"/>
    <w:embedBold r:id="rId3" w:subsetted="0"/>
    <w:embedItalic r:id="rId4" w:subsetted="0"/>
    <w:embedBoldItalic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2">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3" Type="http://schemas.openxmlformats.org/officeDocument/2006/relationships/hyperlink" Target="mailto:cfisherkeller@d127.org" TargetMode="External"/><Relationship Id="rId8" Type="http://schemas.openxmlformats.org/officeDocument/2006/relationships/hyperlink" Target="http://www.corestandards.org/ELA-Literacy/RL/9-10/3/" TargetMode="External"/><Relationship Id="rId3" Type="http://schemas.openxmlformats.org/officeDocument/2006/relationships/numbering" Target="numbering.xml"/><Relationship Id="rId12" Type="http://schemas.openxmlformats.org/officeDocument/2006/relationships/hyperlink" Target="mailto:cfisherkeller@d127.org" TargetMode="External"/><Relationship Id="rId7" Type="http://schemas.openxmlformats.org/officeDocument/2006/relationships/hyperlink" Target="http://www.corestandards.org/ELA-Literacy/RL/9-10/2/" TargetMode="External"/><Relationship Id="rId2" Type="http://schemas.openxmlformats.org/officeDocument/2006/relationships/fontTable" Target="fontTable.xml"/><Relationship Id="rId16" Type="http://schemas.openxmlformats.org/officeDocument/2006/relationships/customXml" Target="../customXml/item3.xml"/><Relationship Id="rId11" Type="http://schemas.openxmlformats.org/officeDocument/2006/relationships/hyperlink" Target="http://www.corestandards.org/ELA-Literacy/W/9-10/5/" TargetMode="External"/><Relationship Id="rId1" Type="http://schemas.openxmlformats.org/officeDocument/2006/relationships/settings" Target="settings.xml"/><Relationship Id="rId6" Type="http://schemas.openxmlformats.org/officeDocument/2006/relationships/hyperlink" Target="http://www.corestandards.org/ELA-Literacy/RL/9-10/1/" TargetMode="External"/><Relationship Id="rId5" Type="http://schemas.openxmlformats.org/officeDocument/2006/relationships/image" Target="media/image01.png"/><Relationship Id="rId15" Type="http://schemas.openxmlformats.org/officeDocument/2006/relationships/customXml" Target="../customXml/item2.xml"/><Relationship Id="rId10" Type="http://schemas.openxmlformats.org/officeDocument/2006/relationships/hyperlink" Target="http://www.corestandards.org/ELA-Literacy/W/9-10/4/" TargetMode="External"/><Relationship Id="rId4" Type="http://schemas.openxmlformats.org/officeDocument/2006/relationships/styles" Target="styles.xml"/><Relationship Id="rId9" Type="http://schemas.openxmlformats.org/officeDocument/2006/relationships/hyperlink" Target="http://www.corestandards.org/ELA-Literacy/W/9-10/1/" TargetMode="External"/><Relationship Id="rId14"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chitectsDaughter-regular.ttf"/><Relationship Id="rId2" Type="http://schemas.openxmlformats.org/officeDocument/2006/relationships/font" Target="fonts/HelveticaNeue-regular.ttf"/><Relationship Id="rId3" Type="http://schemas.openxmlformats.org/officeDocument/2006/relationships/font" Target="fonts/HelveticaNeue-bold.ttf"/><Relationship Id="rId4" Type="http://schemas.openxmlformats.org/officeDocument/2006/relationships/font" Target="fonts/HelveticaNeue-italic.ttf"/><Relationship Id="rId5" Type="http://schemas.openxmlformats.org/officeDocument/2006/relationships/font" Target="fonts/HelveticaNeue-boldItalic.ttf"/></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B93FDEE024604496820AF32F21E9D0" ma:contentTypeVersion="1" ma:contentTypeDescription="Create a new document." ma:contentTypeScope="" ma:versionID="aa6c71c93880d0e5543fa262c44c3e4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D76E9DD-2613-43E6-9A44-C95FB7512DF3}"/>
</file>

<file path=customXml/itemProps2.xml><?xml version="1.0" encoding="utf-8"?>
<ds:datastoreItem xmlns:ds="http://schemas.openxmlformats.org/officeDocument/2006/customXml" ds:itemID="{C2465130-3475-4E7E-AD18-2812F5C47CEB}"/>
</file>

<file path=customXml/itemProps3.xml><?xml version="1.0" encoding="utf-8"?>
<ds:datastoreItem xmlns:ds="http://schemas.openxmlformats.org/officeDocument/2006/customXml" ds:itemID="{4DF57255-D4DF-4C32-97A5-CE7118E107C0}"/>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0x0101006FB93FDEE024604496820AF32F21E9D0</vt:lpwstr>
  </property>
</Properties>
</file>